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E641" w14:textId="77777777" w:rsidR="00554514" w:rsidRPr="00554514" w:rsidRDefault="00554514" w:rsidP="007761FD">
      <w:pPr>
        <w:widowControl w:val="0"/>
        <w:autoSpaceDE w:val="0"/>
        <w:autoSpaceDN w:val="0"/>
        <w:adjustRightInd w:val="0"/>
        <w:spacing w:after="240" w:line="480" w:lineRule="auto"/>
        <w:jc w:val="center"/>
        <w:rPr>
          <w:rFonts w:ascii="Times" w:hAnsi="Times" w:cs="Times"/>
          <w:lang w:val="en-US" w:eastAsia="fr-FR"/>
        </w:rPr>
      </w:pPr>
      <w:bookmarkStart w:id="0" w:name="_8j0zky61peiy"/>
      <w:bookmarkEnd w:id="0"/>
      <w:r w:rsidRPr="00554514">
        <w:rPr>
          <w:rFonts w:ascii="Times New Roman" w:hAnsi="Times New Roman"/>
          <w:sz w:val="48"/>
          <w:szCs w:val="48"/>
          <w:lang w:val="en-US" w:eastAsia="fr-FR"/>
        </w:rPr>
        <w:t>Supplementary Materials for</w:t>
      </w:r>
    </w:p>
    <w:p w14:paraId="083C1315" w14:textId="77777777" w:rsidR="00554514" w:rsidRPr="00554514" w:rsidRDefault="00554514" w:rsidP="007761FD">
      <w:pPr>
        <w:widowControl w:val="0"/>
        <w:spacing w:line="480" w:lineRule="auto"/>
        <w:jc w:val="both"/>
        <w:rPr>
          <w:rFonts w:ascii="Arial" w:hAnsi="Arial" w:cs="Arial"/>
          <w:sz w:val="26"/>
          <w:lang w:val="en-US"/>
        </w:rPr>
      </w:pPr>
      <w:r w:rsidRPr="00554514">
        <w:rPr>
          <w:rFonts w:ascii="Arial" w:hAnsi="Arial" w:cs="Arial"/>
          <w:b/>
          <w:bCs/>
          <w:sz w:val="28"/>
          <w:lang w:val="en-US"/>
        </w:rPr>
        <w:t>Gut microbiome signatures of nursing home residents carrying Enterobacteria Producing Extended-spectrum β-lactamases</w:t>
      </w:r>
    </w:p>
    <w:p w14:paraId="03B4BEE9" w14:textId="77777777" w:rsidR="00554514" w:rsidRPr="00554514" w:rsidRDefault="00554514" w:rsidP="007761FD">
      <w:pPr>
        <w:widowControl w:val="0"/>
        <w:spacing w:line="480" w:lineRule="auto"/>
        <w:jc w:val="both"/>
        <w:rPr>
          <w:rFonts w:ascii="Arial" w:hAnsi="Arial" w:cs="Arial"/>
          <w:b/>
          <w:bCs/>
          <w:lang w:val="en-US"/>
        </w:rPr>
      </w:pPr>
    </w:p>
    <w:p w14:paraId="480C9F8D" w14:textId="77777777" w:rsidR="00554514" w:rsidRPr="00653BBF" w:rsidRDefault="00554514" w:rsidP="007761FD">
      <w:pPr>
        <w:widowControl w:val="0"/>
        <w:spacing w:line="480" w:lineRule="auto"/>
        <w:jc w:val="both"/>
        <w:rPr>
          <w:rFonts w:ascii="Arial" w:hAnsi="Arial" w:cs="Arial"/>
        </w:rPr>
      </w:pPr>
      <w:r w:rsidRPr="00653BBF">
        <w:rPr>
          <w:rFonts w:ascii="Arial" w:hAnsi="Arial" w:cs="Arial"/>
          <w:bCs/>
        </w:rPr>
        <w:t>Le Bastard Q</w:t>
      </w:r>
      <w:r w:rsidRPr="00653BBF">
        <w:rPr>
          <w:rFonts w:ascii="Arial" w:hAnsi="Arial" w:cs="Arial"/>
          <w:bCs/>
          <w:vertAlign w:val="superscript"/>
        </w:rPr>
        <w:t>1,2</w:t>
      </w:r>
      <w:r w:rsidRPr="00653BBF">
        <w:rPr>
          <w:rFonts w:ascii="Arial" w:hAnsi="Arial" w:cs="Arial"/>
          <w:bCs/>
        </w:rPr>
        <w:t>, Chapelet G</w:t>
      </w:r>
      <w:r w:rsidRPr="00653BBF">
        <w:rPr>
          <w:rFonts w:ascii="Arial" w:hAnsi="Arial" w:cs="Arial"/>
          <w:bCs/>
          <w:vertAlign w:val="superscript"/>
        </w:rPr>
        <w:t>1,3</w:t>
      </w:r>
      <w:r w:rsidRPr="00653BBF">
        <w:rPr>
          <w:rFonts w:ascii="Arial" w:hAnsi="Arial" w:cs="Arial"/>
          <w:bCs/>
        </w:rPr>
        <w:t>, Birgand G</w:t>
      </w:r>
      <w:r w:rsidRPr="00653BBF">
        <w:rPr>
          <w:rFonts w:ascii="Arial" w:hAnsi="Arial" w:cs="Arial"/>
          <w:bCs/>
          <w:vertAlign w:val="superscript"/>
        </w:rPr>
        <w:t>1,4</w:t>
      </w:r>
      <w:r w:rsidRPr="00653BBF">
        <w:rPr>
          <w:rFonts w:ascii="Arial" w:hAnsi="Arial" w:cs="Arial"/>
          <w:bCs/>
        </w:rPr>
        <w:t>, Hillmann B</w:t>
      </w:r>
      <w:r w:rsidRPr="00653BBF">
        <w:rPr>
          <w:rFonts w:ascii="Arial" w:hAnsi="Arial" w:cs="Arial"/>
          <w:bCs/>
          <w:vertAlign w:val="superscript"/>
        </w:rPr>
        <w:t>5</w:t>
      </w:r>
      <w:r w:rsidRPr="00653BBF">
        <w:rPr>
          <w:rFonts w:ascii="Arial" w:hAnsi="Arial" w:cs="Arial"/>
          <w:bCs/>
        </w:rPr>
        <w:t>, Javaudin F</w:t>
      </w:r>
      <w:r w:rsidRPr="00653BBF">
        <w:rPr>
          <w:rFonts w:ascii="Arial" w:hAnsi="Arial" w:cs="Arial"/>
          <w:bCs/>
          <w:vertAlign w:val="superscript"/>
        </w:rPr>
        <w:t>1,2</w:t>
      </w:r>
      <w:r w:rsidRPr="00653BBF">
        <w:rPr>
          <w:rFonts w:ascii="Arial" w:hAnsi="Arial" w:cs="Arial"/>
          <w:bCs/>
        </w:rPr>
        <w:t>, Hayatgheib N</w:t>
      </w:r>
      <w:r w:rsidRPr="00653BBF">
        <w:rPr>
          <w:rFonts w:ascii="Arial" w:hAnsi="Arial" w:cs="Arial"/>
          <w:bCs/>
          <w:vertAlign w:val="superscript"/>
        </w:rPr>
        <w:t>1</w:t>
      </w:r>
      <w:r w:rsidRPr="00653BBF">
        <w:rPr>
          <w:rFonts w:ascii="Arial" w:hAnsi="Arial" w:cs="Arial"/>
          <w:bCs/>
        </w:rPr>
        <w:t>, Bourigault C</w:t>
      </w:r>
      <w:r w:rsidRPr="00653BBF">
        <w:rPr>
          <w:rFonts w:ascii="Arial" w:hAnsi="Arial" w:cs="Arial"/>
          <w:bCs/>
          <w:vertAlign w:val="superscript"/>
        </w:rPr>
        <w:t>1,6</w:t>
      </w:r>
      <w:r w:rsidRPr="00653BBF">
        <w:rPr>
          <w:rFonts w:ascii="Arial" w:hAnsi="Arial" w:cs="Arial"/>
          <w:bCs/>
        </w:rPr>
        <w:t>, Bemer P</w:t>
      </w:r>
      <w:r w:rsidRPr="00653BBF">
        <w:rPr>
          <w:rFonts w:ascii="Arial" w:hAnsi="Arial" w:cs="Arial"/>
          <w:bCs/>
          <w:vertAlign w:val="superscript"/>
        </w:rPr>
        <w:t>1,6</w:t>
      </w:r>
      <w:r w:rsidRPr="00653BBF">
        <w:rPr>
          <w:rFonts w:ascii="Arial" w:hAnsi="Arial" w:cs="Arial"/>
          <w:bCs/>
        </w:rPr>
        <w:t>, De Decker L</w:t>
      </w:r>
      <w:r w:rsidRPr="00653BBF">
        <w:rPr>
          <w:rFonts w:ascii="Arial" w:hAnsi="Arial" w:cs="Arial"/>
          <w:bCs/>
          <w:vertAlign w:val="superscript"/>
        </w:rPr>
        <w:t>1,3</w:t>
      </w:r>
      <w:r w:rsidRPr="00653BBF">
        <w:rPr>
          <w:rFonts w:ascii="Arial" w:hAnsi="Arial" w:cs="Arial"/>
          <w:bCs/>
        </w:rPr>
        <w:t>, Lepelletier D</w:t>
      </w:r>
      <w:r w:rsidRPr="00653BBF">
        <w:rPr>
          <w:rFonts w:ascii="Arial" w:hAnsi="Arial" w:cs="Arial"/>
          <w:bCs/>
          <w:vertAlign w:val="superscript"/>
        </w:rPr>
        <w:t>1,6</w:t>
      </w:r>
      <w:r w:rsidRPr="00653BBF">
        <w:rPr>
          <w:rFonts w:ascii="Arial" w:hAnsi="Arial" w:cs="Arial"/>
          <w:bCs/>
        </w:rPr>
        <w:t>, Batard E</w:t>
      </w:r>
      <w:r w:rsidRPr="00653BBF">
        <w:rPr>
          <w:rFonts w:ascii="Arial" w:hAnsi="Arial" w:cs="Arial"/>
          <w:bCs/>
          <w:vertAlign w:val="superscript"/>
        </w:rPr>
        <w:t>1,2</w:t>
      </w:r>
      <w:r w:rsidRPr="00653BBF">
        <w:rPr>
          <w:rFonts w:ascii="Arial" w:hAnsi="Arial" w:cs="Arial"/>
          <w:bCs/>
        </w:rPr>
        <w:t>, Montassier E</w:t>
      </w:r>
      <w:r w:rsidRPr="00653BBF">
        <w:rPr>
          <w:rFonts w:ascii="Arial" w:hAnsi="Arial" w:cs="Arial"/>
          <w:bCs/>
          <w:vertAlign w:val="superscript"/>
        </w:rPr>
        <w:t>1,2</w:t>
      </w:r>
    </w:p>
    <w:p w14:paraId="48549895" w14:textId="044610E3" w:rsidR="008F4DF3" w:rsidRPr="00653BBF" w:rsidRDefault="008F4DF3" w:rsidP="007761FD">
      <w:pPr>
        <w:spacing w:line="480" w:lineRule="auto"/>
      </w:pPr>
    </w:p>
    <w:p w14:paraId="7B5AA7B9" w14:textId="51FA224D" w:rsidR="00554514" w:rsidRPr="00554514" w:rsidRDefault="00554514" w:rsidP="007761FD">
      <w:pPr>
        <w:spacing w:line="480" w:lineRule="auto"/>
        <w:rPr>
          <w:lang w:val="en-US"/>
        </w:rPr>
      </w:pPr>
      <w:r w:rsidRPr="00554514">
        <w:rPr>
          <w:lang w:val="en-US"/>
        </w:rPr>
        <w:t xml:space="preserve">This file includes: </w:t>
      </w:r>
    </w:p>
    <w:p w14:paraId="650F5F4E" w14:textId="76676950" w:rsidR="00554514" w:rsidRDefault="00D14077" w:rsidP="007761FD">
      <w:pPr>
        <w:spacing w:line="480" w:lineRule="auto"/>
        <w:rPr>
          <w:lang w:val="en-US"/>
        </w:rPr>
      </w:pPr>
      <w:r>
        <w:rPr>
          <w:lang w:val="en-US"/>
        </w:rPr>
        <w:t xml:space="preserve">Laboratory methods, </w:t>
      </w:r>
      <w:r w:rsidR="00554514" w:rsidRPr="00554514">
        <w:rPr>
          <w:lang w:val="en-US"/>
        </w:rPr>
        <w:t xml:space="preserve">Supplemental figures </w:t>
      </w:r>
      <w:r w:rsidR="00554514">
        <w:rPr>
          <w:lang w:val="en-US"/>
        </w:rPr>
        <w:t xml:space="preserve">1 to 5, Captions for Additional </w:t>
      </w:r>
      <w:r w:rsidR="007B1B85">
        <w:rPr>
          <w:lang w:val="en-US"/>
        </w:rPr>
        <w:t>d</w:t>
      </w:r>
      <w:r w:rsidR="00554514">
        <w:rPr>
          <w:lang w:val="en-US"/>
        </w:rPr>
        <w:t>ata tables</w:t>
      </w:r>
      <w:r w:rsidR="007B1B85">
        <w:rPr>
          <w:lang w:val="en-US"/>
        </w:rPr>
        <w:t xml:space="preserve"> 1 to 5</w:t>
      </w:r>
      <w:r w:rsidR="00954AC4">
        <w:rPr>
          <w:lang w:val="en-US"/>
        </w:rPr>
        <w:t xml:space="preserve"> (</w:t>
      </w:r>
      <w:r w:rsidR="000F1B10">
        <w:rPr>
          <w:lang w:val="en-US"/>
        </w:rPr>
        <w:t>comma</w:t>
      </w:r>
      <w:r w:rsidR="00954AC4">
        <w:rPr>
          <w:lang w:val="en-US"/>
        </w:rPr>
        <w:t xml:space="preserve"> separated values .txt files)</w:t>
      </w:r>
      <w:r w:rsidR="00554514">
        <w:rPr>
          <w:lang w:val="en-US"/>
        </w:rPr>
        <w:t xml:space="preserve"> </w:t>
      </w:r>
    </w:p>
    <w:p w14:paraId="04ECCA76" w14:textId="1E1606F4" w:rsidR="007761FD" w:rsidRDefault="007761FD">
      <w:pPr>
        <w:spacing w:after="160" w:line="259" w:lineRule="auto"/>
        <w:rPr>
          <w:lang w:val="en-US"/>
        </w:rPr>
      </w:pPr>
      <w:r>
        <w:rPr>
          <w:lang w:val="en-US"/>
        </w:rPr>
        <w:br w:type="page"/>
      </w:r>
    </w:p>
    <w:p w14:paraId="449FF627" w14:textId="77777777" w:rsidR="00653BBF" w:rsidRPr="00262024" w:rsidRDefault="00653BBF" w:rsidP="00653BBF">
      <w:pPr>
        <w:widowControl w:val="0"/>
        <w:spacing w:line="480" w:lineRule="auto"/>
        <w:jc w:val="both"/>
        <w:rPr>
          <w:rFonts w:asciiTheme="minorHAnsi" w:hAnsiTheme="minorHAnsi" w:cstheme="minorHAnsi"/>
          <w:b/>
          <w:lang w:val="en-US"/>
        </w:rPr>
      </w:pPr>
      <w:r w:rsidRPr="00262024">
        <w:rPr>
          <w:rFonts w:asciiTheme="minorHAnsi" w:hAnsiTheme="minorHAnsi" w:cstheme="minorHAnsi"/>
          <w:b/>
          <w:lang w:val="en-US"/>
        </w:rPr>
        <w:lastRenderedPageBreak/>
        <w:t>Laboratory methods</w:t>
      </w:r>
    </w:p>
    <w:p w14:paraId="47B30CDC" w14:textId="77777777" w:rsidR="00653BBF" w:rsidRPr="00262024" w:rsidRDefault="00653BBF" w:rsidP="00653BBF">
      <w:pPr>
        <w:widowControl w:val="0"/>
        <w:spacing w:line="480" w:lineRule="auto"/>
        <w:jc w:val="both"/>
        <w:rPr>
          <w:rFonts w:asciiTheme="minorHAnsi" w:hAnsiTheme="minorHAnsi" w:cstheme="minorHAnsi"/>
          <w:lang w:val="en-US"/>
        </w:rPr>
      </w:pPr>
      <w:r w:rsidRPr="00262024">
        <w:rPr>
          <w:rFonts w:asciiTheme="minorHAnsi" w:hAnsiTheme="minorHAnsi" w:cstheme="minorHAnsi"/>
          <w:lang w:val="en-US"/>
        </w:rPr>
        <w:t>Samples were addressed and managed in the laboratory of Bacteriology, Nantes University Hospital, for identification of ESBL, according to CLSI guidelines. Samples were vortexed and cultured for 24 hours on specific chromogenic agar culture medium (ESBL-chromID, Biomérieux, France). Colonies were identified using mass spectrometry (MALDI-TOF MS method, Bruker Daltonics, Germany). ESBL-E phenotypes were confirmed by detection on disc diffusion tests (MASTDISCSTM D72C ID ESBL test, Mast Diagnostics, Merseyside, UK).</w:t>
      </w:r>
    </w:p>
    <w:p w14:paraId="244F1808" w14:textId="77777777" w:rsidR="00653BBF" w:rsidRDefault="00653BBF" w:rsidP="007761FD">
      <w:pPr>
        <w:spacing w:line="480" w:lineRule="auto"/>
        <w:rPr>
          <w:b/>
          <w:lang w:val="en-US"/>
        </w:rPr>
      </w:pPr>
    </w:p>
    <w:p w14:paraId="4F85371B" w14:textId="77777777" w:rsidR="00653BBF" w:rsidRDefault="00653BBF">
      <w:pPr>
        <w:spacing w:after="160" w:line="259" w:lineRule="auto"/>
        <w:rPr>
          <w:b/>
          <w:lang w:val="en-US"/>
        </w:rPr>
      </w:pPr>
      <w:r>
        <w:rPr>
          <w:b/>
          <w:lang w:val="en-US"/>
        </w:rPr>
        <w:br w:type="page"/>
      </w:r>
    </w:p>
    <w:p w14:paraId="00B5C6F1" w14:textId="144BB947" w:rsidR="003501BA" w:rsidRPr="007761FD" w:rsidRDefault="00554514" w:rsidP="007761FD">
      <w:pPr>
        <w:spacing w:line="480" w:lineRule="auto"/>
        <w:rPr>
          <w:lang w:val="en-US"/>
        </w:rPr>
      </w:pPr>
      <w:r>
        <w:rPr>
          <w:b/>
          <w:lang w:val="en-US"/>
        </w:rPr>
        <w:lastRenderedPageBreak/>
        <w:t xml:space="preserve">Supplementary Figure 1. </w:t>
      </w:r>
      <w:r w:rsidRPr="00554514">
        <w:rPr>
          <w:b/>
          <w:lang w:val="en-US"/>
        </w:rPr>
        <w:t xml:space="preserve">ESBL-E carriers and non-carriers harbors </w:t>
      </w:r>
      <w:r w:rsidR="004A5F51" w:rsidRPr="00554514">
        <w:rPr>
          <w:b/>
          <w:lang w:val="en-US"/>
        </w:rPr>
        <w:t>non-significantly</w:t>
      </w:r>
      <w:r w:rsidRPr="00554514">
        <w:rPr>
          <w:b/>
          <w:lang w:val="en-US"/>
        </w:rPr>
        <w:t xml:space="preserve"> differen</w:t>
      </w:r>
      <w:r>
        <w:rPr>
          <w:b/>
          <w:lang w:val="en-US"/>
        </w:rPr>
        <w:t xml:space="preserve">t relative abundance of </w:t>
      </w:r>
      <w:r>
        <w:rPr>
          <w:b/>
          <w:i/>
          <w:lang w:val="en-US"/>
        </w:rPr>
        <w:t xml:space="preserve">K. pneumoniae, E. cloacae </w:t>
      </w:r>
      <w:r>
        <w:rPr>
          <w:b/>
          <w:lang w:val="en-US"/>
        </w:rPr>
        <w:t xml:space="preserve">and </w:t>
      </w:r>
      <w:r>
        <w:rPr>
          <w:b/>
          <w:i/>
          <w:lang w:val="en-US"/>
        </w:rPr>
        <w:t>E. coli.</w:t>
      </w:r>
      <w:r>
        <w:rPr>
          <w:b/>
          <w:lang w:val="en-US"/>
        </w:rPr>
        <w:t xml:space="preserve"> </w:t>
      </w:r>
      <w:r w:rsidR="003501BA">
        <w:rPr>
          <w:lang w:val="en-US"/>
        </w:rPr>
        <w:t>Individual plots of r</w:t>
      </w:r>
      <w:r w:rsidR="007761FD">
        <w:rPr>
          <w:lang w:val="en-US"/>
        </w:rPr>
        <w:t>elative abundance of the three species identified as extended spectrum beta-lactamase producers in ESBL-E carriers.</w:t>
      </w:r>
      <w:r w:rsidR="003501BA">
        <w:rPr>
          <w:lang w:val="en-US"/>
        </w:rPr>
        <w:t xml:space="preserve"> Comparison of relative abundances between ESBL-E carriers and non-carriers shows no significant differences (</w:t>
      </w:r>
      <w:r w:rsidR="003501BA" w:rsidRPr="003501BA">
        <w:rPr>
          <w:lang w:val="en-US"/>
        </w:rPr>
        <w:t>Mann-Whitney U test, ESBLE-E carriers versus non-carriers for E. coli, E. cloacae and K. pneumoniae relative abundances, all p values &gt; 0.05</w:t>
      </w:r>
      <w:r w:rsidR="003501BA">
        <w:rPr>
          <w:lang w:val="en-US"/>
        </w:rPr>
        <w:t>)</w:t>
      </w:r>
    </w:p>
    <w:p w14:paraId="6759B684" w14:textId="2698A149" w:rsidR="00554514" w:rsidRPr="00554514" w:rsidRDefault="003501BA">
      <w:pPr>
        <w:rPr>
          <w:b/>
          <w:lang w:val="en-US"/>
        </w:rPr>
      </w:pPr>
      <w:r>
        <w:rPr>
          <w:b/>
          <w:noProof/>
          <w:lang w:val="en-US"/>
        </w:rPr>
        <mc:AlternateContent>
          <mc:Choice Requires="wps">
            <w:drawing>
              <wp:anchor distT="0" distB="0" distL="114300" distR="114300" simplePos="0" relativeHeight="251659264" behindDoc="0" locked="0" layoutInCell="1" allowOverlap="1" wp14:anchorId="72E18F56" wp14:editId="274E306E">
                <wp:simplePos x="0" y="0"/>
                <wp:positionH relativeFrom="column">
                  <wp:posOffset>-73025</wp:posOffset>
                </wp:positionH>
                <wp:positionV relativeFrom="paragraph">
                  <wp:posOffset>165100</wp:posOffset>
                </wp:positionV>
                <wp:extent cx="579120" cy="419100"/>
                <wp:effectExtent l="0" t="0" r="11430" b="19050"/>
                <wp:wrapNone/>
                <wp:docPr id="19" name="Zone de texte 19"/>
                <wp:cNvGraphicFramePr/>
                <a:graphic xmlns:a="http://schemas.openxmlformats.org/drawingml/2006/main">
                  <a:graphicData uri="http://schemas.microsoft.com/office/word/2010/wordprocessingShape">
                    <wps:wsp>
                      <wps:cNvSpPr txBox="1"/>
                      <wps:spPr>
                        <a:xfrm>
                          <a:off x="0" y="0"/>
                          <a:ext cx="579120" cy="419100"/>
                        </a:xfrm>
                        <a:prstGeom prst="rect">
                          <a:avLst/>
                        </a:prstGeom>
                        <a:solidFill>
                          <a:schemeClr val="lt1"/>
                        </a:solidFill>
                        <a:ln w="6350">
                          <a:solidFill>
                            <a:schemeClr val="bg1"/>
                          </a:solidFill>
                        </a:ln>
                      </wps:spPr>
                      <wps:txbx>
                        <w:txbxContent>
                          <w:p w14:paraId="368A5DA9" w14:textId="7D65AF00" w:rsidR="007761FD" w:rsidRPr="007761FD" w:rsidRDefault="007761FD">
                            <w:pPr>
                              <w:rPr>
                                <w:b/>
                                <w:sz w:val="32"/>
                              </w:rPr>
                            </w:pPr>
                            <w:r w:rsidRPr="007761FD">
                              <w:rPr>
                                <w:b/>
                                <w:sz w:val="32"/>
                              </w:rPr>
                              <w:t>S1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E18F56" id="_x0000_t202" coordsize="21600,21600" o:spt="202" path="m,l,21600r21600,l21600,xe">
                <v:stroke joinstyle="miter"/>
                <v:path gradientshapeok="t" o:connecttype="rect"/>
              </v:shapetype>
              <v:shape id="Zone de texte 19" o:spid="_x0000_s1026" type="#_x0000_t202" style="position:absolute;margin-left:-5.75pt;margin-top:13pt;width:45.6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" fillcolor="white [3201]" strokecolor="white [3212]" strokeweight=".5pt">
                <v:textbox>
                  <w:txbxContent>
                    <w:p w14:paraId="368A5DA9" w14:textId="7D65AF00" w:rsidR="007761FD" w:rsidRPr="007761FD" w:rsidRDefault="007761FD">
                      <w:pPr>
                        <w:rPr>
                          <w:b/>
                          <w:sz w:val="32"/>
                        </w:rPr>
                      </w:pPr>
                      <w:r w:rsidRPr="007761FD">
                        <w:rPr>
                          <w:b/>
                          <w:sz w:val="32"/>
                        </w:rPr>
                        <w:t>S1</w:t>
                      </w:r>
                    </w:p>
                  </w:txbxContent>
                </v:textbox>
              </v:shape>
            </w:pict>
          </mc:Fallback>
        </mc:AlternateContent>
      </w:r>
    </w:p>
    <w:p w14:paraId="7B7420FD" w14:textId="6570772B" w:rsidR="00554514" w:rsidRPr="00554514" w:rsidRDefault="007761FD">
      <w:pPr>
        <w:rPr>
          <w:b/>
          <w:lang w:val="en-US"/>
        </w:rPr>
      </w:pPr>
      <w:r w:rsidRPr="00554514">
        <w:rPr>
          <w:b/>
          <w:noProof/>
          <w:lang w:val="en-US"/>
        </w:rPr>
        <w:drawing>
          <wp:inline distT="0" distB="0" distL="0" distR="0" wp14:anchorId="533D2FCF" wp14:editId="0A7BD99B">
            <wp:extent cx="5760720" cy="2166620"/>
            <wp:effectExtent l="0" t="0" r="0" b="508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60720" cy="2166620"/>
                    </a:xfrm>
                    <a:prstGeom prst="rect">
                      <a:avLst/>
                    </a:prstGeom>
                    <a:noFill/>
                    <a:ln>
                      <a:noFill/>
                    </a:ln>
                  </pic:spPr>
                </pic:pic>
              </a:graphicData>
            </a:graphic>
          </wp:inline>
        </w:drawing>
      </w:r>
    </w:p>
    <w:p w14:paraId="7B50C21F" w14:textId="494695B4" w:rsidR="00554514" w:rsidRDefault="00554514">
      <w:pPr>
        <w:rPr>
          <w:b/>
          <w:lang w:val="en-US"/>
        </w:rPr>
      </w:pPr>
    </w:p>
    <w:p w14:paraId="33EA08B0" w14:textId="344F2C25" w:rsidR="00015140" w:rsidRDefault="00015140">
      <w:pPr>
        <w:rPr>
          <w:b/>
          <w:lang w:val="en-US"/>
        </w:rPr>
      </w:pPr>
    </w:p>
    <w:p w14:paraId="5C5D5836" w14:textId="17467979" w:rsidR="00925864" w:rsidRDefault="00925864">
      <w:pPr>
        <w:rPr>
          <w:b/>
          <w:lang w:val="en-US"/>
        </w:rPr>
      </w:pPr>
    </w:p>
    <w:p w14:paraId="05AEE6D6" w14:textId="21DA44FC" w:rsidR="00925864" w:rsidRDefault="00925864">
      <w:pPr>
        <w:rPr>
          <w:b/>
          <w:lang w:val="en-US"/>
        </w:rPr>
      </w:pPr>
    </w:p>
    <w:p w14:paraId="4D953596" w14:textId="7035A49D" w:rsidR="00925864" w:rsidRDefault="00925864">
      <w:pPr>
        <w:rPr>
          <w:b/>
          <w:lang w:val="en-US"/>
        </w:rPr>
      </w:pPr>
    </w:p>
    <w:p w14:paraId="54F9152B" w14:textId="72ADEF74" w:rsidR="00925864" w:rsidRDefault="00925864">
      <w:pPr>
        <w:rPr>
          <w:b/>
          <w:lang w:val="en-US"/>
        </w:rPr>
      </w:pPr>
    </w:p>
    <w:p w14:paraId="15C8375E" w14:textId="3D00DF4D" w:rsidR="00925864" w:rsidRDefault="00925864">
      <w:pPr>
        <w:rPr>
          <w:b/>
          <w:lang w:val="en-US"/>
        </w:rPr>
      </w:pPr>
    </w:p>
    <w:p w14:paraId="658351C1" w14:textId="79E44F92" w:rsidR="00925864" w:rsidRDefault="00925864">
      <w:pPr>
        <w:rPr>
          <w:b/>
          <w:lang w:val="en-US"/>
        </w:rPr>
      </w:pPr>
    </w:p>
    <w:p w14:paraId="46CD9AE9" w14:textId="58BCB4AF" w:rsidR="00925864" w:rsidRDefault="00925864">
      <w:pPr>
        <w:rPr>
          <w:b/>
          <w:lang w:val="en-US"/>
        </w:rPr>
      </w:pPr>
    </w:p>
    <w:p w14:paraId="5A6C87D2" w14:textId="10A372DC" w:rsidR="00925864" w:rsidRDefault="00925864">
      <w:pPr>
        <w:rPr>
          <w:b/>
          <w:lang w:val="en-US"/>
        </w:rPr>
      </w:pPr>
    </w:p>
    <w:p w14:paraId="697A2727" w14:textId="0E3CFD14" w:rsidR="00925864" w:rsidRDefault="00925864">
      <w:pPr>
        <w:rPr>
          <w:b/>
          <w:lang w:val="en-US"/>
        </w:rPr>
      </w:pPr>
    </w:p>
    <w:p w14:paraId="54C5B00C" w14:textId="3EFF96A6" w:rsidR="00925864" w:rsidRDefault="00925864">
      <w:pPr>
        <w:rPr>
          <w:b/>
          <w:lang w:val="en-US"/>
        </w:rPr>
      </w:pPr>
    </w:p>
    <w:p w14:paraId="6E43336C" w14:textId="23189D43" w:rsidR="00925864" w:rsidRDefault="00925864">
      <w:pPr>
        <w:rPr>
          <w:b/>
          <w:lang w:val="en-US"/>
        </w:rPr>
      </w:pPr>
    </w:p>
    <w:p w14:paraId="0255E3E4" w14:textId="34145F6C" w:rsidR="00925864" w:rsidRDefault="00925864">
      <w:pPr>
        <w:rPr>
          <w:b/>
          <w:lang w:val="en-US"/>
        </w:rPr>
      </w:pPr>
    </w:p>
    <w:p w14:paraId="0C9D718E" w14:textId="0F1A0B5D" w:rsidR="00925864" w:rsidRDefault="00925864">
      <w:pPr>
        <w:rPr>
          <w:b/>
          <w:lang w:val="en-US"/>
        </w:rPr>
      </w:pPr>
    </w:p>
    <w:p w14:paraId="753299CB" w14:textId="3142E4A0" w:rsidR="00925864" w:rsidRDefault="00925864">
      <w:pPr>
        <w:rPr>
          <w:b/>
          <w:lang w:val="en-US"/>
        </w:rPr>
      </w:pPr>
    </w:p>
    <w:p w14:paraId="6E49ACE8" w14:textId="1B7B37DF" w:rsidR="00925864" w:rsidRDefault="00925864">
      <w:pPr>
        <w:rPr>
          <w:b/>
          <w:lang w:val="en-US"/>
        </w:rPr>
      </w:pPr>
    </w:p>
    <w:p w14:paraId="611B1597" w14:textId="671828CE" w:rsidR="00925864" w:rsidRDefault="00925864">
      <w:pPr>
        <w:rPr>
          <w:b/>
          <w:lang w:val="en-US"/>
        </w:rPr>
      </w:pPr>
    </w:p>
    <w:p w14:paraId="24E256B5" w14:textId="1A251880" w:rsidR="00925864" w:rsidRDefault="00925864">
      <w:pPr>
        <w:rPr>
          <w:b/>
          <w:lang w:val="en-US"/>
        </w:rPr>
      </w:pPr>
    </w:p>
    <w:p w14:paraId="1C29A990" w14:textId="055AC299" w:rsidR="00925864" w:rsidRDefault="00925864">
      <w:pPr>
        <w:rPr>
          <w:b/>
          <w:lang w:val="en-US"/>
        </w:rPr>
      </w:pPr>
    </w:p>
    <w:p w14:paraId="05E80D6D" w14:textId="77777777" w:rsidR="00925864" w:rsidRDefault="00925864">
      <w:pPr>
        <w:rPr>
          <w:b/>
          <w:lang w:val="en-US"/>
        </w:rPr>
      </w:pPr>
    </w:p>
    <w:p w14:paraId="527BA1C0" w14:textId="380F8C92" w:rsidR="00015140" w:rsidRDefault="00015140" w:rsidP="009367B2">
      <w:pPr>
        <w:spacing w:line="480" w:lineRule="auto"/>
        <w:rPr>
          <w:b/>
          <w:lang w:val="en-US"/>
        </w:rPr>
      </w:pPr>
      <w:r>
        <w:rPr>
          <w:b/>
          <w:lang w:val="en-US"/>
        </w:rPr>
        <w:lastRenderedPageBreak/>
        <w:t>Supplementary figure 2.</w:t>
      </w:r>
      <w:r w:rsidR="009367B2">
        <w:rPr>
          <w:b/>
          <w:lang w:val="en-US"/>
        </w:rPr>
        <w:t xml:space="preserve"> ESBL-E carriers and non-carriers have a distinct gut microbial composition. </w:t>
      </w:r>
      <w:r w:rsidR="00175010" w:rsidRPr="00175010">
        <w:rPr>
          <w:lang w:val="en-US"/>
        </w:rPr>
        <w:t>Beta-diversity comparisons of the gut microbiomes of extended spectrum beta-lactamase producing Enterobacteriaceae (ESBL-E) carriers and non-carriers. The first two axes are shown of principal coordinate analysis (PCoA) of Bray Curtis distances between individual communities at species level. The proportion of variance explained by each principal coordinate axis is denoted in the corresponding axis label. The plot shows a significant separation between samples from ESBL-E carriers and non-carriers (analysis of similarities, ANOSIM, R=0.177, p value=0.048).</w:t>
      </w:r>
    </w:p>
    <w:p w14:paraId="1AE5D431" w14:textId="08BF98D2" w:rsidR="00925864" w:rsidRDefault="00CC617B">
      <w:pPr>
        <w:rPr>
          <w:b/>
          <w:lang w:val="en-US"/>
        </w:rPr>
      </w:pPr>
      <w:r>
        <w:rPr>
          <w:b/>
          <w:noProof/>
          <w:lang w:val="en-US"/>
        </w:rPr>
        <mc:AlternateContent>
          <mc:Choice Requires="wps">
            <w:drawing>
              <wp:anchor distT="0" distB="0" distL="114300" distR="114300" simplePos="0" relativeHeight="251661312" behindDoc="0" locked="0" layoutInCell="1" allowOverlap="1" wp14:anchorId="27474F3E" wp14:editId="717FC71D">
                <wp:simplePos x="0" y="0"/>
                <wp:positionH relativeFrom="column">
                  <wp:posOffset>-23495</wp:posOffset>
                </wp:positionH>
                <wp:positionV relativeFrom="paragraph">
                  <wp:posOffset>60325</wp:posOffset>
                </wp:positionV>
                <wp:extent cx="407670" cy="419100"/>
                <wp:effectExtent l="0" t="0" r="11430" b="19050"/>
                <wp:wrapNone/>
                <wp:docPr id="23" name="Zone de texte 23"/>
                <wp:cNvGraphicFramePr/>
                <a:graphic xmlns:a="http://schemas.openxmlformats.org/drawingml/2006/main">
                  <a:graphicData uri="http://schemas.microsoft.com/office/word/2010/wordprocessingShape">
                    <wps:wsp>
                      <wps:cNvSpPr txBox="1"/>
                      <wps:spPr>
                        <a:xfrm>
                          <a:off x="0" y="0"/>
                          <a:ext cx="407670" cy="419100"/>
                        </a:xfrm>
                        <a:prstGeom prst="rect">
                          <a:avLst/>
                        </a:prstGeom>
                        <a:solidFill>
                          <a:schemeClr val="lt1"/>
                        </a:solidFill>
                        <a:ln w="6350">
                          <a:solidFill>
                            <a:schemeClr val="bg1"/>
                          </a:solidFill>
                        </a:ln>
                      </wps:spPr>
                      <wps:txbx>
                        <w:txbxContent>
                          <w:p w14:paraId="3D4E5261" w14:textId="06BDE629" w:rsidR="00CC617B" w:rsidRPr="007761FD" w:rsidRDefault="00CC617B" w:rsidP="00CC617B">
                            <w:pPr>
                              <w:rPr>
                                <w:b/>
                                <w:sz w:val="32"/>
                              </w:rPr>
                            </w:pPr>
                            <w:r w:rsidRPr="007761FD">
                              <w:rPr>
                                <w:b/>
                                <w:sz w:val="32"/>
                              </w:rPr>
                              <w:t>S</w:t>
                            </w:r>
                            <w:r>
                              <w:rPr>
                                <w:b/>
                                <w:sz w:val="3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474F3E" id="Zone de texte 23" o:spid="_x0000_s1027" type="#_x0000_t202" style="position:absolute;margin-left:-1.85pt;margin-top:4.75pt;width:32.1pt;height:3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" fillcolor="white [3201]" strokecolor="white [3212]" strokeweight=".5pt">
                <v:textbox>
                  <w:txbxContent>
                    <w:p w14:paraId="3D4E5261" w14:textId="06BDE629" w:rsidR="00CC617B" w:rsidRPr="007761FD" w:rsidRDefault="00CC617B" w:rsidP="00CC617B">
                      <w:pPr>
                        <w:rPr>
                          <w:b/>
                          <w:sz w:val="32"/>
                        </w:rPr>
                      </w:pPr>
                      <w:r w:rsidRPr="007761FD">
                        <w:rPr>
                          <w:b/>
                          <w:sz w:val="32"/>
                        </w:rPr>
                        <w:t>S</w:t>
                      </w:r>
                      <w:r>
                        <w:rPr>
                          <w:b/>
                          <w:sz w:val="32"/>
                        </w:rPr>
                        <w:t>2</w:t>
                      </w:r>
                    </w:p>
                  </w:txbxContent>
                </v:textbox>
              </v:shape>
            </w:pict>
          </mc:Fallback>
        </mc:AlternateContent>
      </w:r>
    </w:p>
    <w:p w14:paraId="631B66E9" w14:textId="0A1A4179" w:rsidR="00925864" w:rsidRDefault="00925864">
      <w:pPr>
        <w:rPr>
          <w:b/>
          <w:lang w:val="en-US"/>
        </w:rPr>
      </w:pPr>
      <w:r w:rsidRPr="00925864">
        <w:rPr>
          <w:b/>
          <w:noProof/>
          <w:lang w:val="en-US"/>
        </w:rPr>
        <w:drawing>
          <wp:inline distT="0" distB="0" distL="0" distR="0" wp14:anchorId="1B0531FF" wp14:editId="681CCF72">
            <wp:extent cx="5760720" cy="4314825"/>
            <wp:effectExtent l="0" t="0" r="0" b="9525"/>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4314825"/>
                    </a:xfrm>
                    <a:prstGeom prst="rect">
                      <a:avLst/>
                    </a:prstGeom>
                    <a:noFill/>
                    <a:ln>
                      <a:noFill/>
                    </a:ln>
                  </pic:spPr>
                </pic:pic>
              </a:graphicData>
            </a:graphic>
          </wp:inline>
        </w:drawing>
      </w:r>
    </w:p>
    <w:p w14:paraId="377AE03B" w14:textId="7FF90AAD" w:rsidR="00CC617B" w:rsidRDefault="00CC617B">
      <w:pPr>
        <w:rPr>
          <w:b/>
          <w:lang w:val="en-US"/>
        </w:rPr>
      </w:pPr>
    </w:p>
    <w:p w14:paraId="101B877C" w14:textId="0B29649C" w:rsidR="00CC617B" w:rsidRDefault="00CC617B">
      <w:pPr>
        <w:rPr>
          <w:b/>
          <w:lang w:val="en-US"/>
        </w:rPr>
      </w:pPr>
    </w:p>
    <w:p w14:paraId="4E056FDD" w14:textId="41A15E28" w:rsidR="00CC617B" w:rsidRDefault="00CC617B">
      <w:pPr>
        <w:rPr>
          <w:b/>
          <w:lang w:val="en-US"/>
        </w:rPr>
      </w:pPr>
    </w:p>
    <w:p w14:paraId="66A5FB72" w14:textId="08AC393B" w:rsidR="00CC617B" w:rsidRDefault="00CC617B">
      <w:pPr>
        <w:rPr>
          <w:b/>
          <w:lang w:val="en-US"/>
        </w:rPr>
      </w:pPr>
    </w:p>
    <w:p w14:paraId="521C46BA" w14:textId="21D2338D" w:rsidR="00CC617B" w:rsidRDefault="00CC617B">
      <w:pPr>
        <w:rPr>
          <w:b/>
          <w:lang w:val="en-US"/>
        </w:rPr>
      </w:pPr>
    </w:p>
    <w:p w14:paraId="181063DE" w14:textId="47D4059A" w:rsidR="00CC617B" w:rsidRDefault="00CC617B">
      <w:pPr>
        <w:rPr>
          <w:b/>
          <w:lang w:val="en-US"/>
        </w:rPr>
      </w:pPr>
    </w:p>
    <w:p w14:paraId="2BE7C980" w14:textId="762A0432" w:rsidR="00CC617B" w:rsidRDefault="00CC617B">
      <w:pPr>
        <w:rPr>
          <w:b/>
          <w:lang w:val="en-US"/>
        </w:rPr>
      </w:pPr>
    </w:p>
    <w:p w14:paraId="3EFE9593" w14:textId="47908439" w:rsidR="00CC617B" w:rsidRPr="00CC617B" w:rsidRDefault="00CC617B" w:rsidP="00323387">
      <w:pPr>
        <w:spacing w:line="480" w:lineRule="auto"/>
        <w:rPr>
          <w:lang w:val="en-US"/>
        </w:rPr>
      </w:pPr>
      <w:r>
        <w:rPr>
          <w:b/>
          <w:lang w:val="en-US"/>
        </w:rPr>
        <w:lastRenderedPageBreak/>
        <w:t xml:space="preserve">Supplementary figure 3. Analysis of within samples functional biodiversity shows an increased biodiversity in the gut microbiome of ESBL-E carriers. </w:t>
      </w:r>
      <w:r w:rsidR="00C55549" w:rsidRPr="00C55549">
        <w:rPr>
          <w:lang w:val="en-US"/>
        </w:rPr>
        <w:t>Alpha-diversity indices in gut microbiomes of extended spectrum beta-lactamase producing Enterobacteriaceae (ESBL-E) carriers and non-carriers., based on KEGG KO. Whiskers in the boxplot represent the range of minimum and maximum alpha diversity values within a population, excluding outliers. Monte-Carlo permutation t-test: *p value &lt;0.05; ** p value &lt;0.01; and *** p value &lt;0.001. Boxplots denote top quartile, median, and bottom quartile.</w:t>
      </w:r>
    </w:p>
    <w:p w14:paraId="39A02AC4" w14:textId="0B2EE393" w:rsidR="00CC617B" w:rsidRDefault="00CC617B">
      <w:pPr>
        <w:rPr>
          <w:b/>
          <w:lang w:val="en-US"/>
        </w:rPr>
      </w:pPr>
      <w:r>
        <w:rPr>
          <w:b/>
          <w:noProof/>
          <w:lang w:val="en-US"/>
        </w:rPr>
        <mc:AlternateContent>
          <mc:Choice Requires="wps">
            <w:drawing>
              <wp:anchor distT="0" distB="0" distL="114300" distR="114300" simplePos="0" relativeHeight="251663360" behindDoc="0" locked="0" layoutInCell="1" allowOverlap="1" wp14:anchorId="03CDCEB1" wp14:editId="4E330C16">
                <wp:simplePos x="0" y="0"/>
                <wp:positionH relativeFrom="column">
                  <wp:posOffset>-635</wp:posOffset>
                </wp:positionH>
                <wp:positionV relativeFrom="paragraph">
                  <wp:posOffset>160655</wp:posOffset>
                </wp:positionV>
                <wp:extent cx="407670" cy="419100"/>
                <wp:effectExtent l="0" t="0" r="11430" b="19050"/>
                <wp:wrapNone/>
                <wp:docPr id="24" name="Zone de texte 24"/>
                <wp:cNvGraphicFramePr/>
                <a:graphic xmlns:a="http://schemas.openxmlformats.org/drawingml/2006/main">
                  <a:graphicData uri="http://schemas.microsoft.com/office/word/2010/wordprocessingShape">
                    <wps:wsp>
                      <wps:cNvSpPr txBox="1"/>
                      <wps:spPr>
                        <a:xfrm>
                          <a:off x="0" y="0"/>
                          <a:ext cx="407670" cy="419100"/>
                        </a:xfrm>
                        <a:prstGeom prst="rect">
                          <a:avLst/>
                        </a:prstGeom>
                        <a:solidFill>
                          <a:schemeClr val="lt1"/>
                        </a:solidFill>
                        <a:ln w="6350">
                          <a:solidFill>
                            <a:schemeClr val="bg1"/>
                          </a:solidFill>
                        </a:ln>
                      </wps:spPr>
                      <wps:txbx>
                        <w:txbxContent>
                          <w:p w14:paraId="759B96E0" w14:textId="301C621E" w:rsidR="00CC617B" w:rsidRPr="007761FD" w:rsidRDefault="00CC617B" w:rsidP="00CC617B">
                            <w:pPr>
                              <w:rPr>
                                <w:b/>
                                <w:sz w:val="32"/>
                              </w:rPr>
                            </w:pPr>
                            <w:r w:rsidRPr="007761FD">
                              <w:rPr>
                                <w:b/>
                                <w:sz w:val="32"/>
                              </w:rPr>
                              <w:t>S</w:t>
                            </w:r>
                            <w:r>
                              <w:rPr>
                                <w:b/>
                                <w:sz w:val="3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CDCEB1" id="Zone de texte 24" o:spid="_x0000_s1028" type="#_x0000_t202" style="position:absolute;margin-left:-.05pt;margin-top:12.65pt;width:32.1pt;height: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" fillcolor="white [3201]" strokecolor="white [3212]" strokeweight=".5pt">
                <v:textbox>
                  <w:txbxContent>
                    <w:p w14:paraId="759B96E0" w14:textId="301C621E" w:rsidR="00CC617B" w:rsidRPr="007761FD" w:rsidRDefault="00CC617B" w:rsidP="00CC617B">
                      <w:pPr>
                        <w:rPr>
                          <w:b/>
                          <w:sz w:val="32"/>
                        </w:rPr>
                      </w:pPr>
                      <w:r w:rsidRPr="007761FD">
                        <w:rPr>
                          <w:b/>
                          <w:sz w:val="32"/>
                        </w:rPr>
                        <w:t>S</w:t>
                      </w:r>
                      <w:r>
                        <w:rPr>
                          <w:b/>
                          <w:sz w:val="32"/>
                        </w:rPr>
                        <w:t>3</w:t>
                      </w:r>
                    </w:p>
                  </w:txbxContent>
                </v:textbox>
              </v:shape>
            </w:pict>
          </mc:Fallback>
        </mc:AlternateContent>
      </w:r>
      <w:r w:rsidRPr="00CC617B">
        <w:rPr>
          <w:b/>
          <w:noProof/>
          <w:lang w:val="en-US"/>
        </w:rPr>
        <w:drawing>
          <wp:inline distT="0" distB="0" distL="0" distR="0" wp14:anchorId="28EE96B1" wp14:editId="692EE911">
            <wp:extent cx="3242882" cy="2468880"/>
            <wp:effectExtent l="0" t="0" r="0" b="762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45897" cy="2471175"/>
                    </a:xfrm>
                    <a:prstGeom prst="rect">
                      <a:avLst/>
                    </a:prstGeom>
                    <a:noFill/>
                    <a:ln>
                      <a:noFill/>
                    </a:ln>
                  </pic:spPr>
                </pic:pic>
              </a:graphicData>
            </a:graphic>
          </wp:inline>
        </w:drawing>
      </w:r>
    </w:p>
    <w:p w14:paraId="20DD2584" w14:textId="5EF50BBF" w:rsidR="00DA4D39" w:rsidRDefault="00DA4D39">
      <w:pPr>
        <w:spacing w:after="160" w:line="259" w:lineRule="auto"/>
        <w:rPr>
          <w:b/>
          <w:lang w:val="en-US"/>
        </w:rPr>
      </w:pPr>
      <w:r>
        <w:rPr>
          <w:b/>
          <w:lang w:val="en-US"/>
        </w:rPr>
        <w:br w:type="page"/>
      </w:r>
    </w:p>
    <w:p w14:paraId="6BB73FFB" w14:textId="0E2D479E" w:rsidR="00DA4D39" w:rsidRDefault="00DA4D39" w:rsidP="00DA4D39">
      <w:pPr>
        <w:spacing w:line="480" w:lineRule="auto"/>
        <w:rPr>
          <w:lang w:val="en-US"/>
        </w:rPr>
      </w:pPr>
      <w:r>
        <w:rPr>
          <w:b/>
          <w:lang w:val="en-US"/>
        </w:rPr>
        <w:lastRenderedPageBreak/>
        <w:t xml:space="preserve">Supplementary figure 4. </w:t>
      </w:r>
      <w:r w:rsidRPr="00DA4D39">
        <w:rPr>
          <w:b/>
          <w:lang w:val="en-US"/>
        </w:rPr>
        <w:t xml:space="preserve">KEGG KO that differentiate Enterobacteriaceae (ESBL-E) carriers and non-carriers at genus level, using DESeq2 with bootstrap iterations. </w:t>
      </w:r>
      <w:r w:rsidRPr="00DA4D39">
        <w:rPr>
          <w:lang w:val="en-US"/>
        </w:rPr>
        <w:t>The bootstrap model consists in 50 random selections of non-carriers (n = 40). We represented the KEGG KO that are significantly different between ESBL-E carriers and non-carriers in more than 40 iterations in the 50 performed, with a FDR corrected p value &lt; 0.10</w:t>
      </w:r>
      <w:r>
        <w:rPr>
          <w:lang w:val="en-US"/>
        </w:rPr>
        <w:t>.</w:t>
      </w:r>
    </w:p>
    <w:p w14:paraId="72F0BE94" w14:textId="2A915D40" w:rsidR="00DA4D39" w:rsidRDefault="007B068B" w:rsidP="00DA4D39">
      <w:pPr>
        <w:spacing w:line="480" w:lineRule="auto"/>
        <w:rPr>
          <w:lang w:val="en-US"/>
        </w:rPr>
      </w:pPr>
      <w:r w:rsidRPr="007B068B">
        <w:rPr>
          <w:noProof/>
          <w:lang w:val="en-US"/>
        </w:rPr>
        <w:drawing>
          <wp:inline distT="0" distB="0" distL="0" distR="0" wp14:anchorId="4A518221" wp14:editId="39B3AFEA">
            <wp:extent cx="5711190" cy="5109210"/>
            <wp:effectExtent l="0" t="0" r="381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1190" cy="5109210"/>
                    </a:xfrm>
                    <a:prstGeom prst="rect">
                      <a:avLst/>
                    </a:prstGeom>
                    <a:noFill/>
                    <a:ln>
                      <a:noFill/>
                    </a:ln>
                  </pic:spPr>
                </pic:pic>
              </a:graphicData>
            </a:graphic>
          </wp:inline>
        </w:drawing>
      </w:r>
    </w:p>
    <w:p w14:paraId="25B335E5" w14:textId="67275D44" w:rsidR="005C0ED3" w:rsidRDefault="005C0ED3" w:rsidP="00DA4D39">
      <w:pPr>
        <w:spacing w:line="480" w:lineRule="auto"/>
        <w:rPr>
          <w:lang w:val="en-US"/>
        </w:rPr>
      </w:pPr>
    </w:p>
    <w:p w14:paraId="6C31FA0E" w14:textId="5452CAB2" w:rsidR="005C0ED3" w:rsidRDefault="005C0ED3" w:rsidP="00DA4D39">
      <w:pPr>
        <w:spacing w:line="480" w:lineRule="auto"/>
        <w:rPr>
          <w:lang w:val="en-US"/>
        </w:rPr>
      </w:pPr>
    </w:p>
    <w:p w14:paraId="0736DFD1" w14:textId="5F34FD89" w:rsidR="005C0ED3" w:rsidRDefault="005C0ED3" w:rsidP="00DA4D39">
      <w:pPr>
        <w:spacing w:line="480" w:lineRule="auto"/>
        <w:rPr>
          <w:lang w:val="en-US"/>
        </w:rPr>
      </w:pPr>
    </w:p>
    <w:p w14:paraId="0EEF5BD8" w14:textId="0FA3369A" w:rsidR="005C0ED3" w:rsidRDefault="005C0ED3" w:rsidP="00DA4D39">
      <w:pPr>
        <w:spacing w:line="480" w:lineRule="auto"/>
        <w:rPr>
          <w:lang w:val="en-US"/>
        </w:rPr>
      </w:pPr>
    </w:p>
    <w:p w14:paraId="3580B502" w14:textId="25ACCC85" w:rsidR="005C0ED3" w:rsidRDefault="005C0ED3" w:rsidP="00DA4D39">
      <w:pPr>
        <w:spacing w:line="480" w:lineRule="auto"/>
        <w:rPr>
          <w:lang w:val="en-US"/>
        </w:rPr>
      </w:pPr>
    </w:p>
    <w:p w14:paraId="712EC608" w14:textId="7A2121C1" w:rsidR="005C0ED3" w:rsidRDefault="005C0ED3" w:rsidP="00DA4D39">
      <w:pPr>
        <w:spacing w:line="480" w:lineRule="auto"/>
        <w:rPr>
          <w:lang w:val="en-US"/>
        </w:rPr>
      </w:pPr>
      <w:r>
        <w:rPr>
          <w:b/>
          <w:lang w:val="en-US"/>
        </w:rPr>
        <w:lastRenderedPageBreak/>
        <w:t xml:space="preserve">Supplementary figure 5. </w:t>
      </w:r>
      <w:r w:rsidRPr="005C0ED3">
        <w:rPr>
          <w:b/>
          <w:lang w:val="en-US"/>
        </w:rPr>
        <w:t xml:space="preserve">CAZyme that differentiate Enterobacteriaceae (ESBL-E) carriers and non-carriers at genus level, using DESeq2 with bootstrap iterations. </w:t>
      </w:r>
      <w:r w:rsidRPr="005C0ED3">
        <w:rPr>
          <w:lang w:val="en-US"/>
        </w:rPr>
        <w:t>The bootstrap model consists in 50 random selections of non-carriers (n = 40). We represented the CAZymes that are significantly different between ESBL-E carriers and non-carriers in more than 30 iterations in the 50 performed, with a FDR corrected p value &lt; 0.10.</w:t>
      </w:r>
    </w:p>
    <w:p w14:paraId="2FACA1B8" w14:textId="0F96E18B" w:rsidR="005C0ED3" w:rsidRDefault="005C0ED3" w:rsidP="00DA4D39">
      <w:pPr>
        <w:spacing w:line="480" w:lineRule="auto"/>
        <w:rPr>
          <w:b/>
          <w:lang w:val="en-US"/>
        </w:rPr>
      </w:pPr>
      <w:r w:rsidRPr="005C0ED3">
        <w:rPr>
          <w:b/>
          <w:noProof/>
          <w:lang w:val="en-US"/>
        </w:rPr>
        <w:drawing>
          <wp:inline distT="0" distB="0" distL="0" distR="0" wp14:anchorId="718F307F" wp14:editId="249728AE">
            <wp:extent cx="5760720" cy="3096260"/>
            <wp:effectExtent l="0" t="0" r="0" b="889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3096260"/>
                    </a:xfrm>
                    <a:prstGeom prst="rect">
                      <a:avLst/>
                    </a:prstGeom>
                    <a:noFill/>
                    <a:ln>
                      <a:noFill/>
                    </a:ln>
                  </pic:spPr>
                </pic:pic>
              </a:graphicData>
            </a:graphic>
          </wp:inline>
        </w:drawing>
      </w:r>
    </w:p>
    <w:p w14:paraId="2A574340" w14:textId="70BBB91A" w:rsidR="00DE5176" w:rsidRDefault="00DE5176">
      <w:pPr>
        <w:spacing w:after="160" w:line="259" w:lineRule="auto"/>
        <w:rPr>
          <w:b/>
          <w:lang w:val="en-US"/>
        </w:rPr>
      </w:pPr>
      <w:r>
        <w:rPr>
          <w:b/>
          <w:lang w:val="en-US"/>
        </w:rPr>
        <w:br w:type="page"/>
      </w:r>
    </w:p>
    <w:p w14:paraId="6CB905E4" w14:textId="487B98F6" w:rsidR="00DE5176" w:rsidRDefault="00DE5176" w:rsidP="00DA4D39">
      <w:pPr>
        <w:spacing w:line="480" w:lineRule="auto"/>
        <w:rPr>
          <w:b/>
          <w:lang w:val="en-US"/>
        </w:rPr>
      </w:pPr>
      <w:r>
        <w:rPr>
          <w:b/>
          <w:lang w:val="en-US"/>
        </w:rPr>
        <w:lastRenderedPageBreak/>
        <w:t xml:space="preserve">Supplementary table </w:t>
      </w:r>
      <w:bookmarkStart w:id="1" w:name="_GoBack"/>
      <w:bookmarkEnd w:id="1"/>
      <w:r>
        <w:rPr>
          <w:b/>
          <w:lang w:val="en-US"/>
        </w:rPr>
        <w:t xml:space="preserve">1. </w:t>
      </w:r>
      <w:r w:rsidR="00515F50" w:rsidRPr="00515F50">
        <w:rPr>
          <w:lang w:val="en-US"/>
        </w:rPr>
        <w:t>Genus</w:t>
      </w:r>
      <w:r w:rsidR="00515F50">
        <w:rPr>
          <w:lang w:val="en-US"/>
        </w:rPr>
        <w:t xml:space="preserve"> </w:t>
      </w:r>
      <w:r w:rsidR="00515F50" w:rsidRPr="00515F50">
        <w:rPr>
          <w:lang w:val="en-US"/>
        </w:rPr>
        <w:t>that differentiate carriers and non-carriers using DESeq2 with bootstrap iterations.</w:t>
      </w:r>
    </w:p>
    <w:p w14:paraId="4D39CC1E" w14:textId="011CC9EF" w:rsidR="00DE5176" w:rsidRDefault="00DE5176" w:rsidP="00DA4D39">
      <w:pPr>
        <w:spacing w:line="480" w:lineRule="auto"/>
        <w:rPr>
          <w:b/>
          <w:lang w:val="en-US"/>
        </w:rPr>
      </w:pPr>
      <w:r>
        <w:rPr>
          <w:b/>
          <w:lang w:val="en-US"/>
        </w:rPr>
        <w:t>Supplementary table 2.</w:t>
      </w:r>
      <w:r w:rsidR="00515F50" w:rsidRPr="00515F50">
        <w:rPr>
          <w:lang w:val="en-US"/>
        </w:rPr>
        <w:t xml:space="preserve"> </w:t>
      </w:r>
      <w:r w:rsidR="00515F50">
        <w:rPr>
          <w:lang w:val="en-US"/>
        </w:rPr>
        <w:t>Species</w:t>
      </w:r>
      <w:r w:rsidR="00515F50" w:rsidRPr="00515F50">
        <w:rPr>
          <w:lang w:val="en-US"/>
        </w:rPr>
        <w:t xml:space="preserve"> that differentiate carriers and non-carriers using DESeq2 with bootstrap iterations.</w:t>
      </w:r>
    </w:p>
    <w:p w14:paraId="1112B956" w14:textId="16D4E9DF" w:rsidR="00DE5176" w:rsidRDefault="00DE5176" w:rsidP="00DA4D39">
      <w:pPr>
        <w:spacing w:line="480" w:lineRule="auto"/>
        <w:rPr>
          <w:b/>
          <w:lang w:val="en-US"/>
        </w:rPr>
      </w:pPr>
      <w:r>
        <w:rPr>
          <w:b/>
          <w:lang w:val="en-US"/>
        </w:rPr>
        <w:t>Supplementary table 3</w:t>
      </w:r>
      <w:r w:rsidR="00515F50">
        <w:rPr>
          <w:b/>
          <w:lang w:val="en-US"/>
        </w:rPr>
        <w:t xml:space="preserve">. </w:t>
      </w:r>
      <w:r w:rsidR="00515F50">
        <w:rPr>
          <w:lang w:val="en-US"/>
        </w:rPr>
        <w:t>KEGG modules</w:t>
      </w:r>
      <w:r w:rsidR="00515F50" w:rsidRPr="00515F50">
        <w:rPr>
          <w:lang w:val="en-US"/>
        </w:rPr>
        <w:t xml:space="preserve"> that differentiate carriers and non-carriers using DESeq2 with bootstrap iterations.</w:t>
      </w:r>
    </w:p>
    <w:p w14:paraId="5D7F16A3" w14:textId="686A485C" w:rsidR="00DE5176" w:rsidRDefault="00DE5176" w:rsidP="00DA4D39">
      <w:pPr>
        <w:spacing w:line="480" w:lineRule="auto"/>
        <w:rPr>
          <w:b/>
          <w:lang w:val="en-US"/>
        </w:rPr>
      </w:pPr>
      <w:r>
        <w:rPr>
          <w:b/>
          <w:lang w:val="en-US"/>
        </w:rPr>
        <w:t xml:space="preserve">Supplementary table 4. </w:t>
      </w:r>
      <w:r w:rsidR="00515F50" w:rsidRPr="00515F50">
        <w:rPr>
          <w:lang w:val="en-US"/>
        </w:rPr>
        <w:t>KEGG KO that differentiate carriers and non-carriers using DESeq2 with bootstrap iterations.</w:t>
      </w:r>
    </w:p>
    <w:p w14:paraId="0A2B7D41" w14:textId="5066E7BC" w:rsidR="00DE5176" w:rsidRPr="005C0ED3" w:rsidRDefault="00DE5176" w:rsidP="00DA4D39">
      <w:pPr>
        <w:spacing w:line="480" w:lineRule="auto"/>
        <w:rPr>
          <w:b/>
          <w:lang w:val="en-US"/>
        </w:rPr>
      </w:pPr>
      <w:r>
        <w:rPr>
          <w:b/>
          <w:lang w:val="en-US"/>
        </w:rPr>
        <w:t>Supplementary table 5.</w:t>
      </w:r>
      <w:r w:rsidR="00515F50" w:rsidRPr="00515F50">
        <w:rPr>
          <w:lang w:val="en-US"/>
        </w:rPr>
        <w:t xml:space="preserve"> CAZyme that differentiate carriers and non-carriers using DESeq2 with bootstrap iterations.</w:t>
      </w:r>
    </w:p>
    <w:sectPr w:rsidR="00DE5176" w:rsidRPr="005C0E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84F"/>
    <w:rsid w:val="00015140"/>
    <w:rsid w:val="000F1B10"/>
    <w:rsid w:val="00175010"/>
    <w:rsid w:val="00262024"/>
    <w:rsid w:val="00323387"/>
    <w:rsid w:val="003501BA"/>
    <w:rsid w:val="003613F6"/>
    <w:rsid w:val="004A5F51"/>
    <w:rsid w:val="004D71F0"/>
    <w:rsid w:val="00515F50"/>
    <w:rsid w:val="00526883"/>
    <w:rsid w:val="00554514"/>
    <w:rsid w:val="005617D0"/>
    <w:rsid w:val="00583856"/>
    <w:rsid w:val="005C0ED3"/>
    <w:rsid w:val="00653BBF"/>
    <w:rsid w:val="006D584F"/>
    <w:rsid w:val="007761FD"/>
    <w:rsid w:val="007B068B"/>
    <w:rsid w:val="007B1B85"/>
    <w:rsid w:val="0086418B"/>
    <w:rsid w:val="008F4DF3"/>
    <w:rsid w:val="00925864"/>
    <w:rsid w:val="009367B2"/>
    <w:rsid w:val="00954AC4"/>
    <w:rsid w:val="00AB460A"/>
    <w:rsid w:val="00BC75D8"/>
    <w:rsid w:val="00C55549"/>
    <w:rsid w:val="00CC617B"/>
    <w:rsid w:val="00D14077"/>
    <w:rsid w:val="00DA4D39"/>
    <w:rsid w:val="00DE5176"/>
    <w:rsid w:val="00EF0225"/>
    <w:rsid w:val="00F53F17"/>
    <w:rsid w:val="00FD77B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1B2D3"/>
  <w15:chartTrackingRefBased/>
  <w15:docId w15:val="{03A30D4D-6DD8-4BC2-9335-D056A00C4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514"/>
    <w:pPr>
      <w:spacing w:after="0" w:line="240" w:lineRule="auto"/>
    </w:pPr>
    <w:rPr>
      <w:rFonts w:ascii="Calibri" w:eastAsia="Calibri" w:hAnsi="Calibri" w:cs="Times New Roman"/>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761FD"/>
    <w:pPr>
      <w:spacing w:before="100" w:beforeAutospacing="1" w:after="100" w:afterAutospacing="1"/>
    </w:pPr>
    <w:rPr>
      <w:rFonts w:ascii="Times New Roman" w:eastAsia="Times New Roman" w:hAnsi="Times New Roman"/>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8</Pages>
  <Words>662</Words>
  <Characters>3642</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Quentin LE BASTARD</dc:creator>
  <cp:keywords/>
  <dc:description/>
  <cp:lastModifiedBy>Quentin LE BASTARD</cp:lastModifiedBy>
  <cp:revision>29</cp:revision>
  <dcterms:created xsi:type="dcterms:W3CDTF">2019-05-29T14:34:00Z</dcterms:created>
  <dcterms:modified xsi:type="dcterms:W3CDTF">2019-11-12T20:49:00Z</dcterms:modified>
</cp:coreProperties>
</file>